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6" w:rsidRPr="00C542BA" w:rsidRDefault="00657AD2">
      <w:pPr>
        <w:pStyle w:val="Heading1"/>
        <w:spacing w:before="88"/>
        <w:ind w:left="1605" w:right="1605"/>
        <w:jc w:val="center"/>
        <w:rPr>
          <w:rFonts w:ascii="Times New Roman" w:hAnsi="Times New Roman" w:cs="Times New Roman"/>
          <w:sz w:val="22"/>
          <w:szCs w:val="22"/>
          <w:u w:val="none"/>
        </w:rPr>
      </w:pPr>
      <w:r w:rsidRPr="00C542BA">
        <w:rPr>
          <w:rFonts w:ascii="Times New Roman" w:hAnsi="Times New Roman" w:cs="Times New Roman"/>
          <w:sz w:val="22"/>
          <w:szCs w:val="22"/>
          <w:u w:val="thick"/>
        </w:rPr>
        <w:t>REMUNERATION POLICY FOR NON-EXECUTIVE DIRECTORS</w:t>
      </w:r>
    </w:p>
    <w:p w:rsidR="00395946" w:rsidRPr="00C542BA" w:rsidRDefault="00395946">
      <w:pPr>
        <w:pStyle w:val="BodyText"/>
        <w:spacing w:before="0"/>
        <w:ind w:left="0"/>
        <w:jc w:val="left"/>
        <w:rPr>
          <w:rFonts w:ascii="Times New Roman" w:hAnsi="Times New Roman" w:cs="Times New Roman"/>
          <w:b/>
          <w:sz w:val="22"/>
          <w:szCs w:val="22"/>
        </w:rPr>
      </w:pPr>
    </w:p>
    <w:p w:rsidR="00395946" w:rsidRPr="00C542BA" w:rsidRDefault="00395946">
      <w:pPr>
        <w:pStyle w:val="BodyText"/>
        <w:spacing w:before="10"/>
        <w:ind w:left="0"/>
        <w:jc w:val="left"/>
        <w:rPr>
          <w:rFonts w:ascii="Times New Roman" w:hAnsi="Times New Roman" w:cs="Times New Roman"/>
          <w:b/>
          <w:sz w:val="22"/>
          <w:szCs w:val="22"/>
        </w:rPr>
      </w:pPr>
    </w:p>
    <w:p w:rsidR="00395946" w:rsidRPr="00C542BA" w:rsidRDefault="00657AD2">
      <w:pPr>
        <w:pStyle w:val="ListParagraph"/>
        <w:numPr>
          <w:ilvl w:val="0"/>
          <w:numId w:val="2"/>
        </w:numPr>
        <w:tabs>
          <w:tab w:val="left" w:pos="423"/>
        </w:tabs>
        <w:spacing w:before="100"/>
        <w:rPr>
          <w:rFonts w:ascii="Times New Roman" w:hAnsi="Times New Roman" w:cs="Times New Roman"/>
          <w:b/>
        </w:rPr>
      </w:pPr>
      <w:r w:rsidRPr="00C542BA">
        <w:rPr>
          <w:rFonts w:ascii="Times New Roman" w:hAnsi="Times New Roman" w:cs="Times New Roman"/>
          <w:b/>
          <w:u w:val="thick"/>
        </w:rPr>
        <w:t>REGULATORY</w:t>
      </w:r>
      <w:r w:rsidRPr="00C542BA">
        <w:rPr>
          <w:rFonts w:ascii="Times New Roman" w:hAnsi="Times New Roman" w:cs="Times New Roman"/>
          <w:b/>
          <w:spacing w:val="-2"/>
          <w:u w:val="thick"/>
        </w:rPr>
        <w:t xml:space="preserve"> </w:t>
      </w:r>
      <w:r w:rsidRPr="00C542BA">
        <w:rPr>
          <w:rFonts w:ascii="Times New Roman" w:hAnsi="Times New Roman" w:cs="Times New Roman"/>
          <w:b/>
          <w:u w:val="thick"/>
        </w:rPr>
        <w:t>PROVISIONS:</w:t>
      </w:r>
    </w:p>
    <w:p w:rsidR="00395946" w:rsidRPr="00C542BA" w:rsidRDefault="00657AD2">
      <w:pPr>
        <w:pStyle w:val="BodyText"/>
        <w:ind w:right="114"/>
        <w:rPr>
          <w:rFonts w:ascii="Times New Roman" w:hAnsi="Times New Roman" w:cs="Times New Roman"/>
          <w:sz w:val="22"/>
          <w:szCs w:val="22"/>
        </w:rPr>
      </w:pPr>
      <w:r w:rsidRPr="00C542BA">
        <w:rPr>
          <w:rFonts w:ascii="Times New Roman" w:hAnsi="Times New Roman" w:cs="Times New Roman"/>
          <w:sz w:val="22"/>
          <w:szCs w:val="22"/>
        </w:rPr>
        <w:t xml:space="preserve">In terms of the requirement stated under Companies Act, 2013 read with related rules issued thereon and Regulation 17(6) of SEBI Listing (Obligation and Disclosure Requirements), Regulations, 2015, </w:t>
      </w:r>
      <w:r w:rsidRPr="00C542BA">
        <w:rPr>
          <w:rFonts w:ascii="Times New Roman" w:hAnsi="Times New Roman" w:cs="Times New Roman"/>
          <w:b/>
          <w:sz w:val="22"/>
          <w:szCs w:val="22"/>
        </w:rPr>
        <w:t xml:space="preserve">Max Alert Systems Limited </w:t>
      </w:r>
      <w:r w:rsidRPr="00C542BA">
        <w:rPr>
          <w:rFonts w:ascii="Times New Roman" w:hAnsi="Times New Roman" w:cs="Times New Roman"/>
          <w:sz w:val="22"/>
          <w:szCs w:val="22"/>
        </w:rPr>
        <w:t>(“the Company”) has formulated a policy document namely “Remuneration Policy for Non- Executive Directors” which will deal with the remuneration of the Non- Executive Directors.</w:t>
      </w:r>
    </w:p>
    <w:p w:rsidR="00395946" w:rsidRPr="00C542BA" w:rsidRDefault="00657AD2">
      <w:pPr>
        <w:pStyle w:val="BodyText"/>
        <w:spacing w:before="200"/>
        <w:ind w:right="115"/>
        <w:rPr>
          <w:rFonts w:ascii="Times New Roman" w:hAnsi="Times New Roman" w:cs="Times New Roman"/>
          <w:sz w:val="22"/>
          <w:szCs w:val="22"/>
        </w:rPr>
      </w:pPr>
      <w:r w:rsidRPr="00C542BA">
        <w:rPr>
          <w:rFonts w:ascii="Times New Roman" w:hAnsi="Times New Roman" w:cs="Times New Roman"/>
          <w:sz w:val="22"/>
          <w:szCs w:val="22"/>
        </w:rPr>
        <w:t>Section 197 of the Companies Act, 2013 and Regulation 17(6) (b) require the prior approval of shareholders of the Company if it exceeds the prescribed limits under the Act for making payment to its Non- Executive Directors.</w:t>
      </w:r>
    </w:p>
    <w:p w:rsidR="00395946" w:rsidRPr="00C542BA" w:rsidRDefault="00657AD2">
      <w:pPr>
        <w:pStyle w:val="Heading1"/>
        <w:numPr>
          <w:ilvl w:val="0"/>
          <w:numId w:val="2"/>
        </w:numPr>
        <w:tabs>
          <w:tab w:val="left" w:pos="423"/>
        </w:tabs>
        <w:rPr>
          <w:rFonts w:ascii="Times New Roman" w:hAnsi="Times New Roman" w:cs="Times New Roman"/>
          <w:sz w:val="22"/>
          <w:szCs w:val="22"/>
          <w:u w:val="none"/>
        </w:rPr>
      </w:pPr>
      <w:r w:rsidRPr="00C542BA">
        <w:rPr>
          <w:rFonts w:ascii="Times New Roman" w:hAnsi="Times New Roman" w:cs="Times New Roman"/>
          <w:sz w:val="22"/>
          <w:szCs w:val="22"/>
          <w:u w:val="thick"/>
        </w:rPr>
        <w:t>COMPANY</w:t>
      </w:r>
      <w:r w:rsidRPr="00C542BA">
        <w:rPr>
          <w:rFonts w:ascii="Times New Roman" w:hAnsi="Times New Roman" w:cs="Times New Roman"/>
          <w:spacing w:val="-3"/>
          <w:sz w:val="22"/>
          <w:szCs w:val="22"/>
          <w:u w:val="thick"/>
        </w:rPr>
        <w:t xml:space="preserve"> </w:t>
      </w:r>
      <w:r w:rsidRPr="00C542BA">
        <w:rPr>
          <w:rFonts w:ascii="Times New Roman" w:hAnsi="Times New Roman" w:cs="Times New Roman"/>
          <w:sz w:val="22"/>
          <w:szCs w:val="22"/>
          <w:u w:val="thick"/>
        </w:rPr>
        <w:t>POLICY:</w:t>
      </w:r>
    </w:p>
    <w:p w:rsidR="00395946" w:rsidRPr="00C542BA" w:rsidRDefault="00657AD2">
      <w:pPr>
        <w:pStyle w:val="BodyText"/>
        <w:ind w:left="119" w:right="114"/>
        <w:rPr>
          <w:rFonts w:ascii="Times New Roman" w:hAnsi="Times New Roman" w:cs="Times New Roman"/>
          <w:sz w:val="22"/>
          <w:szCs w:val="22"/>
        </w:rPr>
      </w:pPr>
      <w:r w:rsidRPr="00C542BA">
        <w:rPr>
          <w:rFonts w:ascii="Times New Roman" w:hAnsi="Times New Roman" w:cs="Times New Roman"/>
          <w:sz w:val="22"/>
          <w:szCs w:val="22"/>
        </w:rPr>
        <w:t xml:space="preserve">At </w:t>
      </w:r>
      <w:r w:rsidRPr="00C542BA">
        <w:rPr>
          <w:rFonts w:ascii="Times New Roman" w:hAnsi="Times New Roman" w:cs="Times New Roman"/>
          <w:b/>
          <w:sz w:val="22"/>
          <w:szCs w:val="22"/>
        </w:rPr>
        <w:t xml:space="preserve">Max Alert Systems Limited </w:t>
      </w:r>
      <w:r w:rsidRPr="00C542BA">
        <w:rPr>
          <w:rFonts w:ascii="Times New Roman" w:hAnsi="Times New Roman" w:cs="Times New Roman"/>
          <w:sz w:val="22"/>
          <w:szCs w:val="22"/>
        </w:rPr>
        <w:t>Board of Directors and Management lays great emphasis on adding and practicing good Corporate Governance practices with a view to achieve transparency in its operation so as to boost stakeholders’</w:t>
      </w:r>
      <w:r w:rsidRPr="00C542BA">
        <w:rPr>
          <w:rFonts w:ascii="Times New Roman" w:hAnsi="Times New Roman" w:cs="Times New Roman"/>
          <w:spacing w:val="-26"/>
          <w:sz w:val="22"/>
          <w:szCs w:val="22"/>
        </w:rPr>
        <w:t xml:space="preserve"> </w:t>
      </w:r>
      <w:r w:rsidRPr="00C542BA">
        <w:rPr>
          <w:rFonts w:ascii="Times New Roman" w:hAnsi="Times New Roman" w:cs="Times New Roman"/>
          <w:sz w:val="22"/>
          <w:szCs w:val="22"/>
        </w:rPr>
        <w:t>confidence.</w:t>
      </w:r>
    </w:p>
    <w:p w:rsidR="00395946" w:rsidRPr="00C542BA" w:rsidRDefault="00657AD2">
      <w:pPr>
        <w:pStyle w:val="BodyText"/>
        <w:spacing w:before="201"/>
        <w:ind w:left="119" w:right="116"/>
        <w:rPr>
          <w:rFonts w:ascii="Times New Roman" w:hAnsi="Times New Roman" w:cs="Times New Roman"/>
          <w:sz w:val="22"/>
          <w:szCs w:val="22"/>
        </w:rPr>
      </w:pPr>
      <w:r w:rsidRPr="00C542BA">
        <w:rPr>
          <w:rFonts w:ascii="Times New Roman" w:hAnsi="Times New Roman" w:cs="Times New Roman"/>
          <w:sz w:val="22"/>
          <w:szCs w:val="22"/>
        </w:rPr>
        <w:t xml:space="preserve">The objective of this Policy is to ensure that the Non- executive Directors’ are governed by comprehensive compensation criteria, that is based on their merits and valuable contribution made by them towards the success of the Company. Remuneration packages are designed to attract and retain high caliber management people as required </w:t>
      </w:r>
      <w:proofErr w:type="gramStart"/>
      <w:r w:rsidRPr="00C542BA">
        <w:rPr>
          <w:rFonts w:ascii="Times New Roman" w:hAnsi="Times New Roman" w:cs="Times New Roman"/>
          <w:sz w:val="22"/>
          <w:szCs w:val="22"/>
        </w:rPr>
        <w:t>to run</w:t>
      </w:r>
      <w:proofErr w:type="gramEnd"/>
      <w:r w:rsidRPr="00C542BA">
        <w:rPr>
          <w:rFonts w:ascii="Times New Roman" w:hAnsi="Times New Roman" w:cs="Times New Roman"/>
          <w:sz w:val="22"/>
          <w:szCs w:val="22"/>
        </w:rPr>
        <w:t xml:space="preserve"> the Company successfully.</w:t>
      </w:r>
    </w:p>
    <w:p w:rsidR="00395946" w:rsidRPr="00C542BA" w:rsidRDefault="00657AD2">
      <w:pPr>
        <w:pStyle w:val="Heading1"/>
        <w:numPr>
          <w:ilvl w:val="0"/>
          <w:numId w:val="2"/>
        </w:numPr>
        <w:tabs>
          <w:tab w:val="left" w:pos="423"/>
        </w:tabs>
        <w:spacing w:before="200"/>
        <w:rPr>
          <w:rFonts w:ascii="Times New Roman" w:hAnsi="Times New Roman" w:cs="Times New Roman"/>
          <w:sz w:val="22"/>
          <w:szCs w:val="22"/>
          <w:u w:val="none"/>
        </w:rPr>
      </w:pPr>
      <w:r w:rsidRPr="00C542BA">
        <w:rPr>
          <w:rFonts w:ascii="Times New Roman" w:hAnsi="Times New Roman" w:cs="Times New Roman"/>
          <w:sz w:val="22"/>
          <w:szCs w:val="22"/>
          <w:u w:val="thick"/>
        </w:rPr>
        <w:t>CRITERIA:</w:t>
      </w:r>
    </w:p>
    <w:p w:rsidR="00395946" w:rsidRPr="00C542BA" w:rsidRDefault="00657AD2">
      <w:pPr>
        <w:pStyle w:val="BodyText"/>
        <w:ind w:left="119" w:right="116"/>
        <w:rPr>
          <w:rFonts w:ascii="Times New Roman" w:hAnsi="Times New Roman" w:cs="Times New Roman"/>
          <w:sz w:val="22"/>
          <w:szCs w:val="22"/>
        </w:rPr>
      </w:pPr>
      <w:r w:rsidRPr="00C542BA">
        <w:rPr>
          <w:rFonts w:ascii="Times New Roman" w:hAnsi="Times New Roman" w:cs="Times New Roman"/>
          <w:sz w:val="22"/>
          <w:szCs w:val="22"/>
        </w:rPr>
        <w:t>Criteria of making payments to Non-Executive Directors will be decided by the Board it can be on the basis</w:t>
      </w:r>
      <w:r w:rsidRPr="00C542BA">
        <w:rPr>
          <w:rFonts w:ascii="Times New Roman" w:hAnsi="Times New Roman" w:cs="Times New Roman"/>
          <w:spacing w:val="-3"/>
          <w:sz w:val="22"/>
          <w:szCs w:val="22"/>
        </w:rPr>
        <w:t xml:space="preserve"> </w:t>
      </w:r>
      <w:r w:rsidRPr="00C542BA">
        <w:rPr>
          <w:rFonts w:ascii="Times New Roman" w:hAnsi="Times New Roman" w:cs="Times New Roman"/>
          <w:sz w:val="22"/>
          <w:szCs w:val="22"/>
        </w:rPr>
        <w:t>of:</w:t>
      </w:r>
    </w:p>
    <w:p w:rsidR="00395946" w:rsidRPr="00C542BA" w:rsidRDefault="00657AD2">
      <w:pPr>
        <w:pStyle w:val="BodyText"/>
        <w:spacing w:before="186"/>
        <w:ind w:left="479"/>
        <w:jc w:val="left"/>
        <w:rPr>
          <w:rFonts w:ascii="Times New Roman" w:hAnsi="Times New Roman" w:cs="Times New Roman"/>
          <w:sz w:val="22"/>
          <w:szCs w:val="22"/>
        </w:rPr>
      </w:pPr>
      <w:proofErr w:type="gramStart"/>
      <w:r w:rsidRPr="00C542BA">
        <w:rPr>
          <w:rFonts w:ascii="Times New Roman" w:hAnsi="Times New Roman" w:cs="Times New Roman"/>
          <w:sz w:val="22"/>
          <w:szCs w:val="22"/>
        </w:rPr>
        <w:t>Contribution during the Meeting.</w:t>
      </w:r>
      <w:proofErr w:type="gramEnd"/>
    </w:p>
    <w:p w:rsidR="00395946" w:rsidRPr="00C542BA" w:rsidRDefault="00657AD2">
      <w:pPr>
        <w:pStyle w:val="BodyText"/>
        <w:spacing w:before="142"/>
        <w:ind w:left="479"/>
        <w:jc w:val="left"/>
        <w:rPr>
          <w:rFonts w:ascii="Times New Roman" w:hAnsi="Times New Roman" w:cs="Times New Roman"/>
          <w:sz w:val="22"/>
          <w:szCs w:val="22"/>
        </w:rPr>
      </w:pPr>
      <w:proofErr w:type="gramStart"/>
      <w:r w:rsidRPr="00C542BA">
        <w:rPr>
          <w:rFonts w:ascii="Times New Roman" w:hAnsi="Times New Roman" w:cs="Times New Roman"/>
          <w:sz w:val="22"/>
          <w:szCs w:val="22"/>
        </w:rPr>
        <w:t>Active Participation in strategic decision making.</w:t>
      </w:r>
      <w:proofErr w:type="gramEnd"/>
    </w:p>
    <w:p w:rsidR="00395946" w:rsidRPr="00C542BA" w:rsidRDefault="00395946">
      <w:pPr>
        <w:pStyle w:val="BodyText"/>
        <w:spacing w:before="8"/>
        <w:ind w:left="0"/>
        <w:jc w:val="left"/>
        <w:rPr>
          <w:rFonts w:ascii="Times New Roman" w:hAnsi="Times New Roman" w:cs="Times New Roman"/>
          <w:sz w:val="22"/>
          <w:szCs w:val="22"/>
        </w:rPr>
      </w:pPr>
    </w:p>
    <w:p w:rsidR="00395946" w:rsidRPr="00C542BA" w:rsidRDefault="00657AD2">
      <w:pPr>
        <w:pStyle w:val="Heading1"/>
        <w:numPr>
          <w:ilvl w:val="0"/>
          <w:numId w:val="2"/>
        </w:numPr>
        <w:tabs>
          <w:tab w:val="left" w:pos="423"/>
        </w:tabs>
        <w:spacing w:before="0"/>
        <w:rPr>
          <w:rFonts w:ascii="Times New Roman" w:hAnsi="Times New Roman" w:cs="Times New Roman"/>
          <w:sz w:val="22"/>
          <w:szCs w:val="22"/>
          <w:u w:val="none"/>
        </w:rPr>
      </w:pPr>
      <w:r w:rsidRPr="00C542BA">
        <w:rPr>
          <w:rFonts w:ascii="Times New Roman" w:hAnsi="Times New Roman" w:cs="Times New Roman"/>
          <w:sz w:val="22"/>
          <w:szCs w:val="22"/>
          <w:u w:val="thick"/>
        </w:rPr>
        <w:t>HEADS UNDER WHICH PAYMENTS CAN BE</w:t>
      </w:r>
      <w:r w:rsidRPr="00C542BA">
        <w:rPr>
          <w:rFonts w:ascii="Times New Roman" w:hAnsi="Times New Roman" w:cs="Times New Roman"/>
          <w:spacing w:val="-7"/>
          <w:sz w:val="22"/>
          <w:szCs w:val="22"/>
          <w:u w:val="thick"/>
        </w:rPr>
        <w:t xml:space="preserve"> </w:t>
      </w:r>
      <w:r w:rsidRPr="00C542BA">
        <w:rPr>
          <w:rFonts w:ascii="Times New Roman" w:hAnsi="Times New Roman" w:cs="Times New Roman"/>
          <w:sz w:val="22"/>
          <w:szCs w:val="22"/>
          <w:u w:val="thick"/>
        </w:rPr>
        <w:t>MADE:</w:t>
      </w:r>
    </w:p>
    <w:p w:rsidR="00395946" w:rsidRPr="00C542BA" w:rsidRDefault="00657AD2">
      <w:pPr>
        <w:pStyle w:val="BodyText"/>
        <w:spacing w:line="242" w:lineRule="auto"/>
        <w:ind w:right="118"/>
        <w:rPr>
          <w:rFonts w:ascii="Times New Roman" w:hAnsi="Times New Roman" w:cs="Times New Roman"/>
          <w:sz w:val="22"/>
          <w:szCs w:val="22"/>
        </w:rPr>
      </w:pPr>
      <w:r w:rsidRPr="00C542BA">
        <w:rPr>
          <w:rFonts w:ascii="Times New Roman" w:hAnsi="Times New Roman" w:cs="Times New Roman"/>
          <w:sz w:val="22"/>
          <w:szCs w:val="22"/>
        </w:rPr>
        <w:t>Any fee/remuneration payable to the Non- Executive Directors of the Company shall be in following manner.</w:t>
      </w:r>
    </w:p>
    <w:p w:rsidR="00395946" w:rsidRPr="00C542BA" w:rsidRDefault="00657AD2">
      <w:pPr>
        <w:pStyle w:val="Heading1"/>
        <w:spacing w:before="195"/>
        <w:rPr>
          <w:rFonts w:ascii="Times New Roman" w:hAnsi="Times New Roman" w:cs="Times New Roman"/>
          <w:sz w:val="22"/>
          <w:szCs w:val="22"/>
          <w:u w:val="none"/>
        </w:rPr>
      </w:pPr>
      <w:r w:rsidRPr="00C542BA">
        <w:rPr>
          <w:rFonts w:ascii="Times New Roman" w:hAnsi="Times New Roman" w:cs="Times New Roman"/>
          <w:sz w:val="22"/>
          <w:szCs w:val="22"/>
          <w:u w:val="thick"/>
        </w:rPr>
        <w:t>Sitting Fee:</w:t>
      </w:r>
    </w:p>
    <w:p w:rsidR="00395946" w:rsidRPr="00C542BA" w:rsidRDefault="00657AD2">
      <w:pPr>
        <w:pStyle w:val="BodyText"/>
        <w:ind w:right="115"/>
        <w:rPr>
          <w:rFonts w:ascii="Times New Roman" w:hAnsi="Times New Roman" w:cs="Times New Roman"/>
          <w:sz w:val="22"/>
          <w:szCs w:val="22"/>
        </w:rPr>
      </w:pPr>
      <w:r w:rsidRPr="00C542BA">
        <w:rPr>
          <w:rFonts w:ascii="Times New Roman" w:hAnsi="Times New Roman" w:cs="Times New Roman"/>
          <w:sz w:val="22"/>
          <w:szCs w:val="22"/>
        </w:rPr>
        <w:t>Non- Executive Director(s) may receive remuneration by way of fee for attending meetings of the Board or Committee thereof or any other meeting as required by Companies Act, 2013, Equity Listing Agreement/ Listing Regulations or other applicable law or for any other purpose whatsoever as may be decided by the Board.</w:t>
      </w:r>
    </w:p>
    <w:p w:rsidR="00395946" w:rsidRPr="00C542BA" w:rsidRDefault="00395946">
      <w:pPr>
        <w:rPr>
          <w:rFonts w:ascii="Times New Roman" w:hAnsi="Times New Roman" w:cs="Times New Roman"/>
        </w:rPr>
        <w:sectPr w:rsidR="00395946" w:rsidRPr="00C542BA">
          <w:type w:val="continuous"/>
          <w:pgSz w:w="12240" w:h="15840"/>
          <w:pgMar w:top="1340" w:right="1320" w:bottom="280" w:left="1320" w:header="720" w:footer="720" w:gutter="0"/>
          <w:cols w:space="720"/>
        </w:sectPr>
      </w:pPr>
    </w:p>
    <w:p w:rsidR="00395946" w:rsidRPr="00C542BA" w:rsidRDefault="00657AD2">
      <w:pPr>
        <w:pStyle w:val="BodyText"/>
        <w:spacing w:before="88"/>
        <w:ind w:left="119" w:right="116"/>
        <w:rPr>
          <w:rFonts w:ascii="Times New Roman" w:hAnsi="Times New Roman" w:cs="Times New Roman"/>
          <w:sz w:val="22"/>
          <w:szCs w:val="22"/>
        </w:rPr>
      </w:pPr>
      <w:r w:rsidRPr="00C542BA">
        <w:rPr>
          <w:rFonts w:ascii="Times New Roman" w:hAnsi="Times New Roman" w:cs="Times New Roman"/>
          <w:sz w:val="22"/>
          <w:szCs w:val="22"/>
        </w:rPr>
        <w:lastRenderedPageBreak/>
        <w:t>Non-Executive Directors’ shall be paid a sitting fee as decided by the Board of Directors for every meeting of the Board or Committee attended by them.</w:t>
      </w:r>
    </w:p>
    <w:p w:rsidR="00395946" w:rsidRPr="00C542BA" w:rsidRDefault="00657AD2">
      <w:pPr>
        <w:pStyle w:val="BodyText"/>
        <w:spacing w:before="201"/>
        <w:ind w:right="117"/>
        <w:rPr>
          <w:rFonts w:ascii="Times New Roman" w:hAnsi="Times New Roman" w:cs="Times New Roman"/>
          <w:sz w:val="22"/>
          <w:szCs w:val="22"/>
        </w:rPr>
      </w:pPr>
      <w:r w:rsidRPr="00C542BA">
        <w:rPr>
          <w:rFonts w:ascii="Times New Roman" w:hAnsi="Times New Roman" w:cs="Times New Roman"/>
          <w:sz w:val="22"/>
          <w:szCs w:val="22"/>
        </w:rPr>
        <w:t xml:space="preserve">The Board has the flexibility to enhance the sitting fees </w:t>
      </w:r>
      <w:proofErr w:type="spellStart"/>
      <w:r w:rsidRPr="00C542BA">
        <w:rPr>
          <w:rFonts w:ascii="Times New Roman" w:hAnsi="Times New Roman" w:cs="Times New Roman"/>
          <w:sz w:val="22"/>
          <w:szCs w:val="22"/>
        </w:rPr>
        <w:t>upto</w:t>
      </w:r>
      <w:proofErr w:type="spellEnd"/>
      <w:r w:rsidRPr="00C542BA">
        <w:rPr>
          <w:rFonts w:ascii="Times New Roman" w:hAnsi="Times New Roman" w:cs="Times New Roman"/>
          <w:sz w:val="22"/>
          <w:szCs w:val="22"/>
        </w:rPr>
        <w:t xml:space="preserve"> the maximum limit allowed by the Companies Act, 2013 and Rules </w:t>
      </w:r>
      <w:proofErr w:type="spellStart"/>
      <w:r w:rsidRPr="00C542BA">
        <w:rPr>
          <w:rFonts w:ascii="Times New Roman" w:hAnsi="Times New Roman" w:cs="Times New Roman"/>
          <w:sz w:val="22"/>
          <w:szCs w:val="22"/>
        </w:rPr>
        <w:t>thereunder</w:t>
      </w:r>
      <w:proofErr w:type="spellEnd"/>
      <w:r w:rsidRPr="00C542BA">
        <w:rPr>
          <w:rFonts w:ascii="Times New Roman" w:hAnsi="Times New Roman" w:cs="Times New Roman"/>
          <w:sz w:val="22"/>
          <w:szCs w:val="22"/>
        </w:rPr>
        <w:t>.</w:t>
      </w:r>
    </w:p>
    <w:p w:rsidR="00395946" w:rsidRPr="00C542BA" w:rsidRDefault="00657AD2">
      <w:pPr>
        <w:pStyle w:val="Heading1"/>
        <w:spacing w:before="199"/>
        <w:rPr>
          <w:rFonts w:ascii="Times New Roman" w:hAnsi="Times New Roman" w:cs="Times New Roman"/>
          <w:sz w:val="22"/>
          <w:szCs w:val="22"/>
          <w:u w:val="none"/>
        </w:rPr>
      </w:pPr>
      <w:r w:rsidRPr="00C542BA">
        <w:rPr>
          <w:rFonts w:ascii="Times New Roman" w:hAnsi="Times New Roman" w:cs="Times New Roman"/>
          <w:sz w:val="22"/>
          <w:szCs w:val="22"/>
          <w:u w:val="thick"/>
        </w:rPr>
        <w:t>Remuneration and Commission:</w:t>
      </w:r>
    </w:p>
    <w:p w:rsidR="00395946" w:rsidRPr="00C542BA" w:rsidRDefault="00657AD2">
      <w:pPr>
        <w:pStyle w:val="BodyText"/>
        <w:spacing w:before="201"/>
        <w:ind w:right="117"/>
        <w:rPr>
          <w:rFonts w:ascii="Times New Roman" w:hAnsi="Times New Roman" w:cs="Times New Roman"/>
          <w:sz w:val="22"/>
          <w:szCs w:val="22"/>
        </w:rPr>
      </w:pPr>
      <w:r w:rsidRPr="00C542BA">
        <w:rPr>
          <w:rFonts w:ascii="Times New Roman" w:hAnsi="Times New Roman" w:cs="Times New Roman"/>
          <w:sz w:val="22"/>
          <w:szCs w:val="22"/>
        </w:rPr>
        <w:t>Under the Companies Act, 2013, Section 197 allows a company to pay remuneration to its Non- Executive Director(s) either by way of a monthly payment or at a specified percentage of the net profits of the company.</w:t>
      </w:r>
    </w:p>
    <w:p w:rsidR="00395946" w:rsidRPr="00C542BA" w:rsidRDefault="00657AD2">
      <w:pPr>
        <w:pStyle w:val="BodyText"/>
        <w:spacing w:before="198"/>
        <w:rPr>
          <w:rFonts w:ascii="Times New Roman" w:hAnsi="Times New Roman" w:cs="Times New Roman"/>
          <w:sz w:val="22"/>
          <w:szCs w:val="22"/>
        </w:rPr>
      </w:pPr>
      <w:r w:rsidRPr="00C542BA">
        <w:rPr>
          <w:rFonts w:ascii="Times New Roman" w:hAnsi="Times New Roman" w:cs="Times New Roman"/>
          <w:sz w:val="22"/>
          <w:szCs w:val="22"/>
        </w:rPr>
        <w:t>The Company is however not obligated to remunerate its Non- Executive Director(s).</w:t>
      </w:r>
    </w:p>
    <w:p w:rsidR="00395946" w:rsidRPr="00C542BA" w:rsidRDefault="00657AD2">
      <w:pPr>
        <w:pStyle w:val="BodyText"/>
        <w:spacing w:before="202"/>
        <w:ind w:left="119" w:right="118"/>
        <w:rPr>
          <w:rFonts w:ascii="Times New Roman" w:hAnsi="Times New Roman" w:cs="Times New Roman"/>
          <w:sz w:val="22"/>
          <w:szCs w:val="22"/>
        </w:rPr>
      </w:pPr>
      <w:r w:rsidRPr="00C542BA">
        <w:rPr>
          <w:rFonts w:ascii="Times New Roman" w:hAnsi="Times New Roman" w:cs="Times New Roman"/>
          <w:sz w:val="22"/>
          <w:szCs w:val="22"/>
        </w:rPr>
        <w:t>Further, the section 197 of the Act provides that the remuneration payable to directors who are neither managing directors nor whole time directors, shall not exceed-</w:t>
      </w:r>
    </w:p>
    <w:p w:rsidR="00395946" w:rsidRPr="00C542BA" w:rsidRDefault="00657AD2">
      <w:pPr>
        <w:pStyle w:val="ListParagraph"/>
        <w:numPr>
          <w:ilvl w:val="0"/>
          <w:numId w:val="1"/>
        </w:numPr>
        <w:tabs>
          <w:tab w:val="left" w:pos="473"/>
        </w:tabs>
        <w:ind w:left="119" w:right="117" w:firstLine="0"/>
        <w:rPr>
          <w:rFonts w:ascii="Times New Roman" w:hAnsi="Times New Roman" w:cs="Times New Roman"/>
        </w:rPr>
      </w:pPr>
      <w:r w:rsidRPr="00C542BA">
        <w:rPr>
          <w:rFonts w:ascii="Times New Roman" w:hAnsi="Times New Roman" w:cs="Times New Roman"/>
        </w:rPr>
        <w:t>one percent of the net profits of the Company, if there is a managing or whole time director or</w:t>
      </w:r>
      <w:r w:rsidRPr="00C542BA">
        <w:rPr>
          <w:rFonts w:ascii="Times New Roman" w:hAnsi="Times New Roman" w:cs="Times New Roman"/>
          <w:spacing w:val="-3"/>
        </w:rPr>
        <w:t xml:space="preserve"> </w:t>
      </w:r>
      <w:r w:rsidRPr="00C542BA">
        <w:rPr>
          <w:rFonts w:ascii="Times New Roman" w:hAnsi="Times New Roman" w:cs="Times New Roman"/>
        </w:rPr>
        <w:t>manager,</w:t>
      </w:r>
    </w:p>
    <w:p w:rsidR="00395946" w:rsidRPr="00C542BA" w:rsidRDefault="00657AD2">
      <w:pPr>
        <w:pStyle w:val="ListParagraph"/>
        <w:numPr>
          <w:ilvl w:val="0"/>
          <w:numId w:val="1"/>
        </w:numPr>
        <w:tabs>
          <w:tab w:val="left" w:pos="507"/>
        </w:tabs>
        <w:spacing w:before="201"/>
        <w:ind w:left="506" w:hanging="388"/>
        <w:rPr>
          <w:rFonts w:ascii="Times New Roman" w:hAnsi="Times New Roman" w:cs="Times New Roman"/>
        </w:rPr>
      </w:pPr>
      <w:proofErr w:type="gramStart"/>
      <w:r w:rsidRPr="00C542BA">
        <w:rPr>
          <w:rFonts w:ascii="Times New Roman" w:hAnsi="Times New Roman" w:cs="Times New Roman"/>
        </w:rPr>
        <w:t>three</w:t>
      </w:r>
      <w:proofErr w:type="gramEnd"/>
      <w:r w:rsidRPr="00C542BA">
        <w:rPr>
          <w:rFonts w:ascii="Times New Roman" w:hAnsi="Times New Roman" w:cs="Times New Roman"/>
        </w:rPr>
        <w:t xml:space="preserve"> percent of the net profits in any other</w:t>
      </w:r>
      <w:r w:rsidRPr="00C542BA">
        <w:rPr>
          <w:rFonts w:ascii="Times New Roman" w:hAnsi="Times New Roman" w:cs="Times New Roman"/>
          <w:spacing w:val="-11"/>
        </w:rPr>
        <w:t xml:space="preserve"> </w:t>
      </w:r>
      <w:r w:rsidRPr="00C542BA">
        <w:rPr>
          <w:rFonts w:ascii="Times New Roman" w:hAnsi="Times New Roman" w:cs="Times New Roman"/>
        </w:rPr>
        <w:t>case.</w:t>
      </w:r>
    </w:p>
    <w:p w:rsidR="00395946" w:rsidRPr="00C542BA" w:rsidRDefault="00657AD2">
      <w:pPr>
        <w:pStyle w:val="BodyText"/>
        <w:ind w:left="119" w:right="116"/>
        <w:rPr>
          <w:rFonts w:ascii="Times New Roman" w:hAnsi="Times New Roman" w:cs="Times New Roman"/>
          <w:sz w:val="22"/>
          <w:szCs w:val="22"/>
        </w:rPr>
      </w:pPr>
      <w:r w:rsidRPr="00C542BA">
        <w:rPr>
          <w:rFonts w:ascii="Times New Roman" w:hAnsi="Times New Roman" w:cs="Times New Roman"/>
          <w:sz w:val="22"/>
          <w:szCs w:val="22"/>
        </w:rPr>
        <w:t>Additional commission, apart from remuneration referred above, may be paid to Non- Executive Directors as may be decided by the Board of Directors of the Company from time to time, depending on the extra time and effort as may be devoted and contribution as may be made by the Non-Executive Directors.</w:t>
      </w:r>
    </w:p>
    <w:p w:rsidR="00395946" w:rsidRPr="00C542BA" w:rsidRDefault="00657AD2">
      <w:pPr>
        <w:pStyle w:val="Heading1"/>
        <w:rPr>
          <w:rFonts w:ascii="Times New Roman" w:hAnsi="Times New Roman" w:cs="Times New Roman"/>
          <w:sz w:val="22"/>
          <w:szCs w:val="22"/>
          <w:u w:val="none"/>
        </w:rPr>
      </w:pPr>
      <w:r w:rsidRPr="00C542BA">
        <w:rPr>
          <w:rFonts w:ascii="Times New Roman" w:hAnsi="Times New Roman" w:cs="Times New Roman"/>
          <w:sz w:val="22"/>
          <w:szCs w:val="22"/>
          <w:u w:val="thick"/>
        </w:rPr>
        <w:t>Refund of excess remuneration paid:</w:t>
      </w:r>
    </w:p>
    <w:p w:rsidR="00395946" w:rsidRPr="00C542BA" w:rsidRDefault="00657AD2">
      <w:pPr>
        <w:pStyle w:val="BodyText"/>
        <w:spacing w:before="201"/>
        <w:ind w:right="117"/>
        <w:rPr>
          <w:rFonts w:ascii="Times New Roman" w:hAnsi="Times New Roman" w:cs="Times New Roman"/>
          <w:sz w:val="22"/>
          <w:szCs w:val="22"/>
        </w:rPr>
      </w:pPr>
      <w:r w:rsidRPr="00C542BA">
        <w:rPr>
          <w:rFonts w:ascii="Times New Roman" w:hAnsi="Times New Roman" w:cs="Times New Roman"/>
          <w:sz w:val="22"/>
          <w:szCs w:val="22"/>
        </w:rPr>
        <w:t>If any such director draws or receives, directly or indirectly, by way of fee/remuneration any such sums in excess of the limit as prescribed or without the prior sanction of the Central Government, where it is required, he shall refund such</w:t>
      </w:r>
    </w:p>
    <w:p w:rsidR="00395946" w:rsidRPr="00C542BA" w:rsidRDefault="00657AD2">
      <w:pPr>
        <w:pStyle w:val="BodyText"/>
        <w:spacing w:before="198"/>
        <w:ind w:right="115"/>
        <w:rPr>
          <w:rFonts w:ascii="Times New Roman" w:hAnsi="Times New Roman" w:cs="Times New Roman"/>
          <w:sz w:val="22"/>
          <w:szCs w:val="22"/>
        </w:rPr>
      </w:pPr>
      <w:proofErr w:type="gramStart"/>
      <w:r w:rsidRPr="00C542BA">
        <w:rPr>
          <w:rFonts w:ascii="Times New Roman" w:hAnsi="Times New Roman" w:cs="Times New Roman"/>
          <w:sz w:val="22"/>
          <w:szCs w:val="22"/>
        </w:rPr>
        <w:t>sum</w:t>
      </w:r>
      <w:proofErr w:type="gramEnd"/>
      <w:r w:rsidRPr="00C542BA">
        <w:rPr>
          <w:rFonts w:ascii="Times New Roman" w:hAnsi="Times New Roman" w:cs="Times New Roman"/>
          <w:sz w:val="22"/>
          <w:szCs w:val="22"/>
        </w:rPr>
        <w:t xml:space="preserve"> to the Company and until such sum is refunded, hold it in trust for the Company. The Company shall not waive the recovery of any sum refundable to it unless permitted by the Central Government.</w:t>
      </w:r>
    </w:p>
    <w:p w:rsidR="00395946" w:rsidRPr="00C542BA" w:rsidRDefault="00657AD2">
      <w:pPr>
        <w:pStyle w:val="Heading1"/>
        <w:rPr>
          <w:rFonts w:ascii="Times New Roman" w:hAnsi="Times New Roman" w:cs="Times New Roman"/>
          <w:sz w:val="22"/>
          <w:szCs w:val="22"/>
          <w:u w:val="none"/>
        </w:rPr>
      </w:pPr>
      <w:r w:rsidRPr="00C542BA">
        <w:rPr>
          <w:rFonts w:ascii="Times New Roman" w:hAnsi="Times New Roman" w:cs="Times New Roman"/>
          <w:sz w:val="22"/>
          <w:szCs w:val="22"/>
          <w:u w:val="thick"/>
        </w:rPr>
        <w:t>Reimbursement of actual expenses incurred:</w:t>
      </w:r>
    </w:p>
    <w:p w:rsidR="00395946" w:rsidRPr="00C542BA" w:rsidRDefault="00657AD2">
      <w:pPr>
        <w:pStyle w:val="BodyText"/>
        <w:ind w:left="119" w:right="116"/>
        <w:rPr>
          <w:rFonts w:ascii="Times New Roman" w:hAnsi="Times New Roman" w:cs="Times New Roman"/>
          <w:sz w:val="22"/>
          <w:szCs w:val="22"/>
        </w:rPr>
      </w:pPr>
      <w:r w:rsidRPr="00C542BA">
        <w:rPr>
          <w:rFonts w:ascii="Times New Roman" w:hAnsi="Times New Roman" w:cs="Times New Roman"/>
          <w:sz w:val="22"/>
          <w:szCs w:val="22"/>
        </w:rPr>
        <w:t>Non- Executive Director(s) may also be paid/reimbursed such sums either as fixed allowance and /or actual as fair compensation for travel, boarding and lodging and incidental and /or actual out of pocket expenses incurred by such Directors for attending Board/Committee Meetings.</w:t>
      </w:r>
    </w:p>
    <w:p w:rsidR="00395946" w:rsidRPr="00C542BA" w:rsidRDefault="00657AD2">
      <w:pPr>
        <w:pStyle w:val="BodyText"/>
        <w:spacing w:before="201"/>
        <w:ind w:right="115"/>
        <w:rPr>
          <w:rFonts w:ascii="Times New Roman" w:hAnsi="Times New Roman" w:cs="Times New Roman"/>
          <w:sz w:val="22"/>
          <w:szCs w:val="22"/>
        </w:rPr>
      </w:pPr>
      <w:r w:rsidRPr="00C542BA">
        <w:rPr>
          <w:rFonts w:ascii="Times New Roman" w:hAnsi="Times New Roman" w:cs="Times New Roman"/>
          <w:sz w:val="22"/>
          <w:szCs w:val="22"/>
        </w:rPr>
        <w:t>The Nomination and Remuneration Committee is entrusted with the role of reviewing the compensation of Non- Executive Director(s).</w:t>
      </w:r>
    </w:p>
    <w:p w:rsidR="00395946" w:rsidRPr="00C542BA" w:rsidRDefault="00657AD2">
      <w:pPr>
        <w:pStyle w:val="Heading1"/>
        <w:rPr>
          <w:rFonts w:ascii="Times New Roman" w:hAnsi="Times New Roman" w:cs="Times New Roman"/>
          <w:sz w:val="22"/>
          <w:szCs w:val="22"/>
          <w:u w:val="none"/>
        </w:rPr>
      </w:pPr>
      <w:r w:rsidRPr="00C542BA">
        <w:rPr>
          <w:rFonts w:ascii="Times New Roman" w:hAnsi="Times New Roman" w:cs="Times New Roman"/>
          <w:sz w:val="22"/>
          <w:szCs w:val="22"/>
          <w:u w:val="thick"/>
        </w:rPr>
        <w:t>Payment to Non- Executive Directors and Independent Directors:</w:t>
      </w:r>
    </w:p>
    <w:p w:rsidR="00395946" w:rsidRPr="00C542BA" w:rsidRDefault="00395946">
      <w:pPr>
        <w:rPr>
          <w:rFonts w:ascii="Times New Roman" w:hAnsi="Times New Roman" w:cs="Times New Roman"/>
        </w:rPr>
        <w:sectPr w:rsidR="00395946" w:rsidRPr="00C542BA">
          <w:pgSz w:w="12240" w:h="15840"/>
          <w:pgMar w:top="1340" w:right="1320" w:bottom="280" w:left="1320" w:header="720" w:footer="720" w:gutter="0"/>
          <w:cols w:space="720"/>
        </w:sectPr>
      </w:pPr>
    </w:p>
    <w:p w:rsidR="00395946" w:rsidRPr="00C542BA" w:rsidRDefault="00657AD2">
      <w:pPr>
        <w:pStyle w:val="BodyText"/>
        <w:spacing w:before="88"/>
        <w:ind w:right="116"/>
        <w:rPr>
          <w:rFonts w:ascii="Times New Roman" w:hAnsi="Times New Roman" w:cs="Times New Roman"/>
          <w:sz w:val="22"/>
          <w:szCs w:val="22"/>
        </w:rPr>
      </w:pPr>
      <w:r w:rsidRPr="00C542BA">
        <w:rPr>
          <w:rFonts w:ascii="Times New Roman" w:hAnsi="Times New Roman" w:cs="Times New Roman"/>
          <w:sz w:val="22"/>
          <w:szCs w:val="22"/>
        </w:rPr>
        <w:lastRenderedPageBreak/>
        <w:t>The Company has no stock options plans and no payment by way of pension, incentives etc to its Non-</w:t>
      </w:r>
      <w:r w:rsidRPr="00C542BA">
        <w:rPr>
          <w:rFonts w:ascii="Times New Roman" w:hAnsi="Times New Roman" w:cs="Times New Roman"/>
          <w:spacing w:val="-5"/>
          <w:sz w:val="22"/>
          <w:szCs w:val="22"/>
        </w:rPr>
        <w:t xml:space="preserve"> </w:t>
      </w:r>
      <w:r w:rsidRPr="00C542BA">
        <w:rPr>
          <w:rFonts w:ascii="Times New Roman" w:hAnsi="Times New Roman" w:cs="Times New Roman"/>
          <w:sz w:val="22"/>
          <w:szCs w:val="22"/>
        </w:rPr>
        <w:t>Executives.</w:t>
      </w:r>
    </w:p>
    <w:p w:rsidR="00395946" w:rsidRPr="00C542BA" w:rsidRDefault="00657AD2">
      <w:pPr>
        <w:pStyle w:val="BodyText"/>
        <w:spacing w:before="201"/>
        <w:ind w:right="116"/>
        <w:rPr>
          <w:rFonts w:ascii="Times New Roman" w:hAnsi="Times New Roman" w:cs="Times New Roman"/>
          <w:sz w:val="22"/>
          <w:szCs w:val="22"/>
        </w:rPr>
      </w:pPr>
      <w:r w:rsidRPr="00C542BA">
        <w:rPr>
          <w:rFonts w:ascii="Times New Roman" w:hAnsi="Times New Roman" w:cs="Times New Roman"/>
          <w:sz w:val="22"/>
          <w:szCs w:val="22"/>
        </w:rPr>
        <w:t>The Independent Director shall not be entitled to any stock option and may receive remuneration only by way of fees and reimbursement of expenses for participation in meetings of the Board or Committee thereof.</w:t>
      </w:r>
    </w:p>
    <w:p w:rsidR="00395946" w:rsidRPr="00C542BA" w:rsidRDefault="00657AD2">
      <w:pPr>
        <w:pStyle w:val="Heading1"/>
        <w:numPr>
          <w:ilvl w:val="0"/>
          <w:numId w:val="2"/>
        </w:numPr>
        <w:tabs>
          <w:tab w:val="left" w:pos="423"/>
        </w:tabs>
        <w:spacing w:before="198"/>
        <w:rPr>
          <w:rFonts w:ascii="Times New Roman" w:hAnsi="Times New Roman" w:cs="Times New Roman"/>
          <w:sz w:val="22"/>
          <w:szCs w:val="22"/>
          <w:u w:val="none"/>
        </w:rPr>
      </w:pPr>
      <w:r w:rsidRPr="00C542BA">
        <w:rPr>
          <w:rFonts w:ascii="Times New Roman" w:hAnsi="Times New Roman" w:cs="Times New Roman"/>
          <w:sz w:val="22"/>
          <w:szCs w:val="22"/>
          <w:u w:val="thick"/>
        </w:rPr>
        <w:t>AMENDMENTS:</w:t>
      </w:r>
    </w:p>
    <w:p w:rsidR="00395946" w:rsidRPr="00C542BA" w:rsidRDefault="00657AD2">
      <w:pPr>
        <w:pStyle w:val="BodyText"/>
        <w:spacing w:before="202" w:line="276" w:lineRule="auto"/>
        <w:ind w:right="139"/>
        <w:jc w:val="left"/>
        <w:rPr>
          <w:rFonts w:ascii="Times New Roman" w:hAnsi="Times New Roman" w:cs="Times New Roman"/>
          <w:sz w:val="22"/>
          <w:szCs w:val="22"/>
        </w:rPr>
      </w:pPr>
      <w:r w:rsidRPr="00C542BA">
        <w:rPr>
          <w:rFonts w:ascii="Times New Roman" w:hAnsi="Times New Roman" w:cs="Times New Roman"/>
          <w:sz w:val="22"/>
          <w:szCs w:val="22"/>
        </w:rPr>
        <w:t>The Board shall be responsible for the administration, interpretation, application and review of this policy. The Board shall be empowered to bring about necessary changes to this policy, if required at any stage in compliance with the prevailing laws.</w:t>
      </w:r>
    </w:p>
    <w:p w:rsidR="00395946" w:rsidRPr="00C542BA" w:rsidRDefault="00395946">
      <w:pPr>
        <w:pStyle w:val="BodyText"/>
        <w:spacing w:before="0"/>
        <w:ind w:left="0"/>
        <w:jc w:val="left"/>
        <w:rPr>
          <w:rFonts w:ascii="Times New Roman" w:hAnsi="Times New Roman" w:cs="Times New Roman"/>
          <w:sz w:val="22"/>
          <w:szCs w:val="22"/>
        </w:rPr>
      </w:pPr>
    </w:p>
    <w:p w:rsidR="00395946" w:rsidRPr="00C542BA" w:rsidRDefault="00395946">
      <w:pPr>
        <w:pStyle w:val="BodyText"/>
        <w:spacing w:before="10"/>
        <w:ind w:left="0"/>
        <w:jc w:val="left"/>
        <w:rPr>
          <w:rFonts w:ascii="Times New Roman" w:hAnsi="Times New Roman" w:cs="Times New Roman"/>
          <w:sz w:val="22"/>
          <w:szCs w:val="22"/>
        </w:rPr>
      </w:pPr>
    </w:p>
    <w:p w:rsidR="00395946" w:rsidRPr="00C542BA" w:rsidRDefault="00657AD2">
      <w:pPr>
        <w:ind w:left="120"/>
        <w:jc w:val="both"/>
        <w:rPr>
          <w:rFonts w:ascii="Times New Roman" w:hAnsi="Times New Roman" w:cs="Times New Roman"/>
          <w:b/>
        </w:rPr>
      </w:pPr>
      <w:r w:rsidRPr="00C542BA">
        <w:rPr>
          <w:rFonts w:ascii="Times New Roman" w:hAnsi="Times New Roman" w:cs="Times New Roman"/>
          <w:b/>
        </w:rPr>
        <w:t>For Max Alert Systems Limited</w:t>
      </w:r>
    </w:p>
    <w:p w:rsidR="00395946" w:rsidRPr="00C542BA" w:rsidRDefault="00395946">
      <w:pPr>
        <w:pStyle w:val="BodyText"/>
        <w:spacing w:before="0"/>
        <w:ind w:left="0"/>
        <w:jc w:val="left"/>
        <w:rPr>
          <w:rFonts w:ascii="Times New Roman" w:hAnsi="Times New Roman" w:cs="Times New Roman"/>
          <w:b/>
          <w:sz w:val="22"/>
          <w:szCs w:val="22"/>
        </w:rPr>
      </w:pPr>
    </w:p>
    <w:p w:rsidR="00C542BA" w:rsidRPr="00C542BA" w:rsidRDefault="00C542BA">
      <w:pPr>
        <w:ind w:left="120"/>
        <w:rPr>
          <w:rFonts w:ascii="Times New Roman" w:hAnsi="Times New Roman" w:cs="Times New Roman"/>
          <w:b/>
        </w:rPr>
      </w:pPr>
      <w:proofErr w:type="spellStart"/>
      <w:r w:rsidRPr="00C542BA">
        <w:rPr>
          <w:rFonts w:ascii="Times New Roman" w:hAnsi="Times New Roman" w:cs="Times New Roman"/>
          <w:b/>
        </w:rPr>
        <w:t>Josephluis</w:t>
      </w:r>
      <w:proofErr w:type="spellEnd"/>
      <w:r w:rsidRPr="00C542BA">
        <w:rPr>
          <w:rFonts w:ascii="Times New Roman" w:hAnsi="Times New Roman" w:cs="Times New Roman"/>
          <w:b/>
        </w:rPr>
        <w:t xml:space="preserve"> </w:t>
      </w:r>
      <w:proofErr w:type="spellStart"/>
      <w:r w:rsidRPr="00C542BA">
        <w:rPr>
          <w:rFonts w:ascii="Times New Roman" w:hAnsi="Times New Roman" w:cs="Times New Roman"/>
          <w:b/>
        </w:rPr>
        <w:t>Joseluis</w:t>
      </w:r>
      <w:proofErr w:type="spellEnd"/>
      <w:r w:rsidRPr="00C542BA">
        <w:rPr>
          <w:rFonts w:ascii="Times New Roman" w:hAnsi="Times New Roman" w:cs="Times New Roman"/>
          <w:b/>
        </w:rPr>
        <w:t xml:space="preserve"> </w:t>
      </w:r>
      <w:proofErr w:type="spellStart"/>
      <w:r w:rsidRPr="00C542BA">
        <w:rPr>
          <w:rFonts w:ascii="Times New Roman" w:hAnsi="Times New Roman" w:cs="Times New Roman"/>
          <w:b/>
        </w:rPr>
        <w:t>Dsouza</w:t>
      </w:r>
      <w:proofErr w:type="spellEnd"/>
    </w:p>
    <w:p w:rsidR="00395946" w:rsidRDefault="00C542BA">
      <w:pPr>
        <w:ind w:left="120"/>
        <w:rPr>
          <w:rFonts w:ascii="Times New Roman" w:hAnsi="Times New Roman" w:cs="Times New Roman"/>
          <w:b/>
        </w:rPr>
      </w:pPr>
      <w:r>
        <w:rPr>
          <w:rFonts w:ascii="Times New Roman" w:hAnsi="Times New Roman" w:cs="Times New Roman"/>
          <w:b/>
        </w:rPr>
        <w:t xml:space="preserve">Managing </w:t>
      </w:r>
      <w:r w:rsidRPr="00C542BA">
        <w:rPr>
          <w:rFonts w:ascii="Times New Roman" w:hAnsi="Times New Roman" w:cs="Times New Roman"/>
          <w:b/>
        </w:rPr>
        <w:t>Director</w:t>
      </w:r>
    </w:p>
    <w:p w:rsidR="00C542BA" w:rsidRDefault="00C542BA">
      <w:pPr>
        <w:ind w:left="120"/>
        <w:rPr>
          <w:rFonts w:ascii="Times New Roman" w:hAnsi="Times New Roman" w:cs="Times New Roman"/>
          <w:b/>
        </w:rPr>
      </w:pPr>
      <w:r>
        <w:rPr>
          <w:rFonts w:ascii="Times New Roman" w:hAnsi="Times New Roman" w:cs="Times New Roman"/>
          <w:b/>
        </w:rPr>
        <w:t>DIN:</w:t>
      </w:r>
      <w:r w:rsidRPr="00C542BA">
        <w:rPr>
          <w:rFonts w:ascii="Times New Roman" w:hAnsi="Times New Roman" w:cs="Times New Roman"/>
          <w:b/>
        </w:rPr>
        <w:t xml:space="preserve"> 01186915</w:t>
      </w:r>
    </w:p>
    <w:p w:rsidR="00C542BA" w:rsidRPr="00C542BA" w:rsidRDefault="00C542BA">
      <w:pPr>
        <w:ind w:left="120"/>
        <w:rPr>
          <w:rFonts w:ascii="Times New Roman" w:hAnsi="Times New Roman" w:cs="Times New Roman"/>
          <w:b/>
        </w:rPr>
      </w:pPr>
      <w:r>
        <w:rPr>
          <w:rFonts w:ascii="Times New Roman" w:hAnsi="Times New Roman" w:cs="Times New Roman"/>
          <w:b/>
        </w:rPr>
        <w:tab/>
      </w:r>
    </w:p>
    <w:sectPr w:rsidR="00C542BA" w:rsidRPr="00C542BA" w:rsidSect="00395946">
      <w:pgSz w:w="12240" w:h="15840"/>
      <w:pgMar w:top="1340" w:right="132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65ECD"/>
    <w:multiLevelType w:val="hybridMultilevel"/>
    <w:tmpl w:val="3502EEFA"/>
    <w:lvl w:ilvl="0" w:tplc="9AE0225E">
      <w:start w:val="1"/>
      <w:numFmt w:val="lowerRoman"/>
      <w:lvlText w:val="(%1)"/>
      <w:lvlJc w:val="left"/>
      <w:pPr>
        <w:ind w:left="120" w:hanging="353"/>
      </w:pPr>
      <w:rPr>
        <w:rFonts w:ascii="Trebuchet MS" w:eastAsia="Trebuchet MS" w:hAnsi="Trebuchet MS" w:cs="Trebuchet MS" w:hint="default"/>
        <w:w w:val="99"/>
        <w:sz w:val="24"/>
        <w:szCs w:val="24"/>
        <w:lang w:val="en-US" w:eastAsia="en-US" w:bidi="ar-SA"/>
      </w:rPr>
    </w:lvl>
    <w:lvl w:ilvl="1" w:tplc="D216255C">
      <w:numFmt w:val="bullet"/>
      <w:lvlText w:val="•"/>
      <w:lvlJc w:val="left"/>
      <w:pPr>
        <w:ind w:left="1068" w:hanging="353"/>
      </w:pPr>
      <w:rPr>
        <w:rFonts w:hint="default"/>
        <w:lang w:val="en-US" w:eastAsia="en-US" w:bidi="ar-SA"/>
      </w:rPr>
    </w:lvl>
    <w:lvl w:ilvl="2" w:tplc="90BE588A">
      <w:numFmt w:val="bullet"/>
      <w:lvlText w:val="•"/>
      <w:lvlJc w:val="left"/>
      <w:pPr>
        <w:ind w:left="2016" w:hanging="353"/>
      </w:pPr>
      <w:rPr>
        <w:rFonts w:hint="default"/>
        <w:lang w:val="en-US" w:eastAsia="en-US" w:bidi="ar-SA"/>
      </w:rPr>
    </w:lvl>
    <w:lvl w:ilvl="3" w:tplc="139A5F24">
      <w:numFmt w:val="bullet"/>
      <w:lvlText w:val="•"/>
      <w:lvlJc w:val="left"/>
      <w:pPr>
        <w:ind w:left="2964" w:hanging="353"/>
      </w:pPr>
      <w:rPr>
        <w:rFonts w:hint="default"/>
        <w:lang w:val="en-US" w:eastAsia="en-US" w:bidi="ar-SA"/>
      </w:rPr>
    </w:lvl>
    <w:lvl w:ilvl="4" w:tplc="839A2A9C">
      <w:numFmt w:val="bullet"/>
      <w:lvlText w:val="•"/>
      <w:lvlJc w:val="left"/>
      <w:pPr>
        <w:ind w:left="3912" w:hanging="353"/>
      </w:pPr>
      <w:rPr>
        <w:rFonts w:hint="default"/>
        <w:lang w:val="en-US" w:eastAsia="en-US" w:bidi="ar-SA"/>
      </w:rPr>
    </w:lvl>
    <w:lvl w:ilvl="5" w:tplc="0F62652A">
      <w:numFmt w:val="bullet"/>
      <w:lvlText w:val="•"/>
      <w:lvlJc w:val="left"/>
      <w:pPr>
        <w:ind w:left="4860" w:hanging="353"/>
      </w:pPr>
      <w:rPr>
        <w:rFonts w:hint="default"/>
        <w:lang w:val="en-US" w:eastAsia="en-US" w:bidi="ar-SA"/>
      </w:rPr>
    </w:lvl>
    <w:lvl w:ilvl="6" w:tplc="7F16125C">
      <w:numFmt w:val="bullet"/>
      <w:lvlText w:val="•"/>
      <w:lvlJc w:val="left"/>
      <w:pPr>
        <w:ind w:left="5808" w:hanging="353"/>
      </w:pPr>
      <w:rPr>
        <w:rFonts w:hint="default"/>
        <w:lang w:val="en-US" w:eastAsia="en-US" w:bidi="ar-SA"/>
      </w:rPr>
    </w:lvl>
    <w:lvl w:ilvl="7" w:tplc="9EFCDB1E">
      <w:numFmt w:val="bullet"/>
      <w:lvlText w:val="•"/>
      <w:lvlJc w:val="left"/>
      <w:pPr>
        <w:ind w:left="6756" w:hanging="353"/>
      </w:pPr>
      <w:rPr>
        <w:rFonts w:hint="default"/>
        <w:lang w:val="en-US" w:eastAsia="en-US" w:bidi="ar-SA"/>
      </w:rPr>
    </w:lvl>
    <w:lvl w:ilvl="8" w:tplc="AF7CD632">
      <w:numFmt w:val="bullet"/>
      <w:lvlText w:val="•"/>
      <w:lvlJc w:val="left"/>
      <w:pPr>
        <w:ind w:left="7704" w:hanging="353"/>
      </w:pPr>
      <w:rPr>
        <w:rFonts w:hint="default"/>
        <w:lang w:val="en-US" w:eastAsia="en-US" w:bidi="ar-SA"/>
      </w:rPr>
    </w:lvl>
  </w:abstractNum>
  <w:abstractNum w:abstractNumId="1">
    <w:nsid w:val="6AC71EB9"/>
    <w:multiLevelType w:val="hybridMultilevel"/>
    <w:tmpl w:val="BC0820F4"/>
    <w:lvl w:ilvl="0" w:tplc="AD948EB8">
      <w:start w:val="1"/>
      <w:numFmt w:val="decimal"/>
      <w:lvlText w:val="%1."/>
      <w:lvlJc w:val="left"/>
      <w:pPr>
        <w:ind w:left="422" w:hanging="303"/>
      </w:pPr>
      <w:rPr>
        <w:rFonts w:ascii="Trebuchet MS" w:eastAsia="Trebuchet MS" w:hAnsi="Trebuchet MS" w:cs="Trebuchet MS" w:hint="default"/>
        <w:b/>
        <w:bCs/>
        <w:w w:val="99"/>
        <w:sz w:val="24"/>
        <w:szCs w:val="24"/>
        <w:u w:val="thick" w:color="000000"/>
        <w:lang w:val="en-US" w:eastAsia="en-US" w:bidi="ar-SA"/>
      </w:rPr>
    </w:lvl>
    <w:lvl w:ilvl="1" w:tplc="CC06C0EA">
      <w:numFmt w:val="bullet"/>
      <w:lvlText w:val="•"/>
      <w:lvlJc w:val="left"/>
      <w:pPr>
        <w:ind w:left="1338" w:hanging="303"/>
      </w:pPr>
      <w:rPr>
        <w:rFonts w:hint="default"/>
        <w:lang w:val="en-US" w:eastAsia="en-US" w:bidi="ar-SA"/>
      </w:rPr>
    </w:lvl>
    <w:lvl w:ilvl="2" w:tplc="6298F708">
      <w:numFmt w:val="bullet"/>
      <w:lvlText w:val="•"/>
      <w:lvlJc w:val="left"/>
      <w:pPr>
        <w:ind w:left="2256" w:hanging="303"/>
      </w:pPr>
      <w:rPr>
        <w:rFonts w:hint="default"/>
        <w:lang w:val="en-US" w:eastAsia="en-US" w:bidi="ar-SA"/>
      </w:rPr>
    </w:lvl>
    <w:lvl w:ilvl="3" w:tplc="AE72B798">
      <w:numFmt w:val="bullet"/>
      <w:lvlText w:val="•"/>
      <w:lvlJc w:val="left"/>
      <w:pPr>
        <w:ind w:left="3174" w:hanging="303"/>
      </w:pPr>
      <w:rPr>
        <w:rFonts w:hint="default"/>
        <w:lang w:val="en-US" w:eastAsia="en-US" w:bidi="ar-SA"/>
      </w:rPr>
    </w:lvl>
    <w:lvl w:ilvl="4" w:tplc="D8F2465E">
      <w:numFmt w:val="bullet"/>
      <w:lvlText w:val="•"/>
      <w:lvlJc w:val="left"/>
      <w:pPr>
        <w:ind w:left="4092" w:hanging="303"/>
      </w:pPr>
      <w:rPr>
        <w:rFonts w:hint="default"/>
        <w:lang w:val="en-US" w:eastAsia="en-US" w:bidi="ar-SA"/>
      </w:rPr>
    </w:lvl>
    <w:lvl w:ilvl="5" w:tplc="18A01B86">
      <w:numFmt w:val="bullet"/>
      <w:lvlText w:val="•"/>
      <w:lvlJc w:val="left"/>
      <w:pPr>
        <w:ind w:left="5010" w:hanging="303"/>
      </w:pPr>
      <w:rPr>
        <w:rFonts w:hint="default"/>
        <w:lang w:val="en-US" w:eastAsia="en-US" w:bidi="ar-SA"/>
      </w:rPr>
    </w:lvl>
    <w:lvl w:ilvl="6" w:tplc="4E5EC270">
      <w:numFmt w:val="bullet"/>
      <w:lvlText w:val="•"/>
      <w:lvlJc w:val="left"/>
      <w:pPr>
        <w:ind w:left="5928" w:hanging="303"/>
      </w:pPr>
      <w:rPr>
        <w:rFonts w:hint="default"/>
        <w:lang w:val="en-US" w:eastAsia="en-US" w:bidi="ar-SA"/>
      </w:rPr>
    </w:lvl>
    <w:lvl w:ilvl="7" w:tplc="D5F0DE32">
      <w:numFmt w:val="bullet"/>
      <w:lvlText w:val="•"/>
      <w:lvlJc w:val="left"/>
      <w:pPr>
        <w:ind w:left="6846" w:hanging="303"/>
      </w:pPr>
      <w:rPr>
        <w:rFonts w:hint="default"/>
        <w:lang w:val="en-US" w:eastAsia="en-US" w:bidi="ar-SA"/>
      </w:rPr>
    </w:lvl>
    <w:lvl w:ilvl="8" w:tplc="CF1CDEB8">
      <w:numFmt w:val="bullet"/>
      <w:lvlText w:val="•"/>
      <w:lvlJc w:val="left"/>
      <w:pPr>
        <w:ind w:left="7764" w:hanging="303"/>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95946"/>
    <w:rsid w:val="00395946"/>
    <w:rsid w:val="00657AD2"/>
    <w:rsid w:val="00665692"/>
    <w:rsid w:val="00C54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5946"/>
    <w:rPr>
      <w:rFonts w:ascii="Trebuchet MS" w:eastAsia="Trebuchet MS" w:hAnsi="Trebuchet MS" w:cs="Trebuchet MS"/>
    </w:rPr>
  </w:style>
  <w:style w:type="paragraph" w:styleId="Heading1">
    <w:name w:val="heading 1"/>
    <w:basedOn w:val="Normal"/>
    <w:uiPriority w:val="1"/>
    <w:qFormat/>
    <w:rsid w:val="00395946"/>
    <w:pPr>
      <w:spacing w:before="201"/>
      <w:ind w:left="12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5946"/>
    <w:pPr>
      <w:spacing w:before="199"/>
      <w:ind w:left="120"/>
      <w:jc w:val="both"/>
    </w:pPr>
    <w:rPr>
      <w:sz w:val="24"/>
      <w:szCs w:val="24"/>
    </w:rPr>
  </w:style>
  <w:style w:type="paragraph" w:styleId="ListParagraph">
    <w:name w:val="List Paragraph"/>
    <w:basedOn w:val="Normal"/>
    <w:uiPriority w:val="1"/>
    <w:qFormat/>
    <w:rsid w:val="00395946"/>
    <w:pPr>
      <w:spacing w:before="198"/>
      <w:ind w:left="422" w:hanging="303"/>
    </w:pPr>
  </w:style>
  <w:style w:type="paragraph" w:customStyle="1" w:styleId="TableParagraph">
    <w:name w:val="Table Paragraph"/>
    <w:basedOn w:val="Normal"/>
    <w:uiPriority w:val="1"/>
    <w:qFormat/>
    <w:rsid w:val="00395946"/>
  </w:style>
</w:styles>
</file>

<file path=word/webSettings.xml><?xml version="1.0" encoding="utf-8"?>
<w:webSettings xmlns:r="http://schemas.openxmlformats.org/officeDocument/2006/relationships" xmlns:w="http://schemas.openxmlformats.org/wordprocessingml/2006/main">
  <w:divs>
    <w:div w:id="72661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2020-09-25T12:36:00Z</dcterms:created>
  <dcterms:modified xsi:type="dcterms:W3CDTF">2020-09-26T08:03:00Z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2018-09-01T00:00:00Z</vt:filetime>
  </property>
  <property fmtid="{D5CDD505-2E9C-101B-9397-08002B2CF9AE}" pid="3" name="Creator">
    <vt:lpwstr>Acrobat PDFMaker 10.1 for Word</vt:lpwstr>
  </property>
  <property fmtid="{D5CDD505-2E9C-101B-9397-08002B2CF9AE}" pid="4" name="LastSaved">
    <vt:filetime>2020-09-25T00:00:00Z</vt:filetime>
  </property>
</Properties>
</file>